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7698" w:rsidRDefault="0022384B">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272089" w:rsidP="009D79F4">
      <w:pPr>
        <w:jc w:val="center"/>
        <w:rPr>
          <w:b/>
        </w:rPr>
      </w:pPr>
      <w:r>
        <w:rPr>
          <w:b/>
        </w:rPr>
        <w:t xml:space="preserve">THIRD </w:t>
      </w:r>
      <w:r w:rsidR="008E009B">
        <w:rPr>
          <w:b/>
        </w:rPr>
        <w:t>QUARTER 2015</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Alex J. McLaughlin, Comptroller</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9D79F4" w:rsidRDefault="009D79F4" w:rsidP="009D79F4">
      <w:pPr>
        <w:rPr>
          <w:b/>
        </w:rPr>
      </w:pPr>
    </w:p>
    <w:p w:rsidR="00744058" w:rsidRDefault="00744058" w:rsidP="009D79F4">
      <w:pPr>
        <w:rPr>
          <w:b/>
        </w:rPr>
      </w:pPr>
      <w:r>
        <w:rPr>
          <w:noProof/>
        </w:rPr>
        <w:lastRenderedPageBreak/>
        <w:drawing>
          <wp:anchor distT="0" distB="0" distL="114300" distR="114300" simplePos="0" relativeHeight="251659264" behindDoc="1" locked="0" layoutInCell="1" allowOverlap="1" wp14:anchorId="096536D3" wp14:editId="0AF4E471">
            <wp:simplePos x="0" y="0"/>
            <wp:positionH relativeFrom="column">
              <wp:posOffset>-613410</wp:posOffset>
            </wp:positionH>
            <wp:positionV relativeFrom="paragraph">
              <wp:posOffset>-1510665</wp:posOffset>
            </wp:positionV>
            <wp:extent cx="7315200" cy="1188720"/>
            <wp:effectExtent l="0" t="0" r="0" b="0"/>
            <wp:wrapTight wrapText="bothSides">
              <wp:wrapPolygon edited="0">
                <wp:start x="0" y="0"/>
                <wp:lineTo x="0" y="21115"/>
                <wp:lineTo x="21544" y="21115"/>
                <wp:lineTo x="21544" y="0"/>
                <wp:lineTo x="0" y="0"/>
              </wp:wrapPolygon>
            </wp:wrapTight>
            <wp:docPr id="1" name="Picture 1" descr="Audit head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dit header"/>
                    <pic:cNvPicPr>
                      <a:picLocks noChangeAspect="1" noChangeArrowheads="1"/>
                    </pic:cNvPicPr>
                  </pic:nvPicPr>
                  <pic:blipFill>
                    <a:blip r:embed="rId7" cstate="print">
                      <a:lum bright="2000"/>
                      <a:extLst>
                        <a:ext uri="{28A0092B-C50C-407E-A947-70E740481C1C}">
                          <a14:useLocalDpi xmlns:a14="http://schemas.microsoft.com/office/drawing/2010/main" val="0"/>
                        </a:ext>
                      </a:extLst>
                    </a:blip>
                    <a:srcRect/>
                    <a:stretch>
                      <a:fillRect/>
                    </a:stretch>
                  </pic:blipFill>
                  <pic:spPr bwMode="auto">
                    <a:xfrm>
                      <a:off x="0" y="0"/>
                      <a:ext cx="7315200" cy="11887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9D79F4" w:rsidRDefault="00CC20A6" w:rsidP="009D79F4">
      <w:r>
        <w:t>December 15</w:t>
      </w:r>
      <w:r w:rsidR="00A41457">
        <w:t>,</w:t>
      </w:r>
      <w:r w:rsidR="00541BBC">
        <w:t xml:space="preserve"> 2015</w:t>
      </w:r>
    </w:p>
    <w:p w:rsidR="0023310E" w:rsidRDefault="0023310E" w:rsidP="009D79F4"/>
    <w:p w:rsidR="0023310E" w:rsidRDefault="0023310E" w:rsidP="009D79F4"/>
    <w:p w:rsidR="009D79F4" w:rsidRDefault="009D79F4" w:rsidP="009D79F4">
      <w:r>
        <w:t>Debra A. Preston, County Executive</w:t>
      </w:r>
    </w:p>
    <w:p w:rsidR="009D79F4" w:rsidRDefault="009D79F4" w:rsidP="009D79F4"/>
    <w:p w:rsidR="009D79F4" w:rsidRDefault="009D79F4" w:rsidP="009D79F4">
      <w:r>
        <w:t xml:space="preserve">The Department of Audit and Control has performed an audit of Accounts Payable documentation for the </w:t>
      </w:r>
      <w:r w:rsidR="00272089">
        <w:t>third</w:t>
      </w:r>
      <w:r w:rsidR="001B4E9B">
        <w:t xml:space="preserve"> </w:t>
      </w:r>
      <w:r w:rsidR="008E009B">
        <w:t>quarter of 2015</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w:t>
      </w:r>
      <w:r w:rsidR="00CC20A6">
        <w:t>s</w:t>
      </w:r>
      <w:r w:rsidR="00A41457">
        <w:t xml:space="preserv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9D79F4" w:rsidP="009D79F4">
      <w:r>
        <w:t>Cc:</w:t>
      </w:r>
      <w:r>
        <w:tab/>
        <w:t>Jerry F. Marinich, Chairman of the Legislature</w:t>
      </w:r>
    </w:p>
    <w:p w:rsidR="009D79F4" w:rsidRDefault="009D79F4" w:rsidP="009D79F4">
      <w:r>
        <w:tab/>
        <w:t>Members of the Legislature</w:t>
      </w:r>
    </w:p>
    <w:p w:rsidR="009D79F4" w:rsidRDefault="009D79F4" w:rsidP="009D79F4">
      <w:r>
        <w:tab/>
        <w:t>Aaron M. Martin, Clerk of the Legislature</w:t>
      </w:r>
    </w:p>
    <w:p w:rsidR="009D79F4" w:rsidRDefault="009D79F4" w:rsidP="009D79F4">
      <w:r>
        <w:tab/>
        <w:t>John M. Bernardo, Deputy County Executive</w:t>
      </w:r>
    </w:p>
    <w:p w:rsidR="009D79F4" w:rsidRDefault="005D527C" w:rsidP="009D79F4">
      <w:r>
        <w:tab/>
        <w:t>Department Heads</w:t>
      </w:r>
    </w:p>
    <w:p w:rsidR="009D79F4" w:rsidRDefault="005D527C" w:rsidP="009D79F4">
      <w:r>
        <w:tab/>
        <w:t>Fiscal Contacts</w:t>
      </w:r>
    </w:p>
    <w:p w:rsidR="00546012" w:rsidRDefault="00744058" w:rsidP="009D79F4">
      <w:r>
        <w:rPr>
          <w:noProof/>
        </w:rPr>
        <w:drawing>
          <wp:anchor distT="0" distB="0" distL="114300" distR="114300" simplePos="0" relativeHeight="251661312" behindDoc="1" locked="0" layoutInCell="1" allowOverlap="1" wp14:anchorId="15B376B4" wp14:editId="20DDA385">
            <wp:simplePos x="0" y="0"/>
            <wp:positionH relativeFrom="column">
              <wp:posOffset>-447675</wp:posOffset>
            </wp:positionH>
            <wp:positionV relativeFrom="paragraph">
              <wp:posOffset>739140</wp:posOffset>
            </wp:positionV>
            <wp:extent cx="7369810" cy="713105"/>
            <wp:effectExtent l="0" t="0" r="2540" b="0"/>
            <wp:wrapTight wrapText="bothSides">
              <wp:wrapPolygon edited="0">
                <wp:start x="0" y="0"/>
                <wp:lineTo x="0" y="20773"/>
                <wp:lineTo x="21552" y="20773"/>
                <wp:lineTo x="21552" y="0"/>
                <wp:lineTo x="0" y="0"/>
              </wp:wrapPolygon>
            </wp:wrapTight>
            <wp:docPr id="2" name="Picture 2"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8"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 xml:space="preserve">            </w:t>
      </w:r>
    </w:p>
    <w:p w:rsidR="00546012" w:rsidRDefault="00546012" w:rsidP="009D79F4"/>
    <w:p w:rsidR="00546012" w:rsidRDefault="00546012" w:rsidP="009D79F4"/>
    <w:p w:rsidR="00546012" w:rsidRDefault="00546012" w:rsidP="00546012">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hecks and disburses more than $7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A41457" w:rsidRDefault="00A41457" w:rsidP="00546012"/>
    <w:p w:rsidR="00A41457" w:rsidRDefault="00A41457" w:rsidP="00546012"/>
    <w:p w:rsidR="00546012" w:rsidRDefault="00546012" w:rsidP="00546012"/>
    <w:p w:rsidR="00546012" w:rsidRDefault="00272089" w:rsidP="00546012">
      <w:pPr>
        <w:jc w:val="center"/>
        <w:rPr>
          <w:b/>
        </w:rPr>
      </w:pPr>
      <w:r>
        <w:rPr>
          <w:b/>
        </w:rPr>
        <w:lastRenderedPageBreak/>
        <w:t>REPORTABLE CONDITIONS</w:t>
      </w:r>
    </w:p>
    <w:p w:rsidR="00272089" w:rsidRDefault="00272089" w:rsidP="00546012">
      <w:pPr>
        <w:jc w:val="center"/>
        <w:rPr>
          <w:b/>
        </w:rPr>
      </w:pPr>
    </w:p>
    <w:p w:rsidR="00272089" w:rsidRDefault="00272089" w:rsidP="00546012">
      <w:pPr>
        <w:jc w:val="center"/>
        <w:rPr>
          <w:b/>
        </w:rPr>
      </w:pPr>
    </w:p>
    <w:p w:rsidR="00272089" w:rsidRDefault="00272089" w:rsidP="00272089">
      <w:pPr>
        <w:pStyle w:val="ListParagraph"/>
        <w:numPr>
          <w:ilvl w:val="0"/>
          <w:numId w:val="5"/>
        </w:numPr>
      </w:pPr>
      <w:r>
        <w:t>REAL PROPERTY</w:t>
      </w:r>
    </w:p>
    <w:p w:rsidR="00272089" w:rsidRDefault="00272089" w:rsidP="00272089"/>
    <w:p w:rsidR="00272089" w:rsidRDefault="00272089" w:rsidP="00272089">
      <w:pPr>
        <w:ind w:left="720"/>
      </w:pPr>
      <w:r>
        <w:t>County Clerk Consulting B</w:t>
      </w:r>
      <w:r w:rsidR="00980548">
        <w:t>ill P</w:t>
      </w:r>
      <w:r>
        <w:t>aid by Real Property.</w:t>
      </w:r>
    </w:p>
    <w:p w:rsidR="00272089" w:rsidRDefault="00272089" w:rsidP="00272089">
      <w:pPr>
        <w:ind w:left="720"/>
      </w:pPr>
    </w:p>
    <w:p w:rsidR="00272089" w:rsidRDefault="00272089" w:rsidP="00272089">
      <w:pPr>
        <w:ind w:left="720"/>
      </w:pPr>
      <w:r>
        <w:t>The Real Property Department paid a $14,600.00 consulting bill on behalf of the County Clerk Department.</w:t>
      </w:r>
    </w:p>
    <w:p w:rsidR="00272089" w:rsidRDefault="00272089" w:rsidP="00272089">
      <w:pPr>
        <w:ind w:left="720"/>
      </w:pPr>
    </w:p>
    <w:p w:rsidR="00272089" w:rsidRDefault="00272089" w:rsidP="00272089">
      <w:pPr>
        <w:ind w:left="720"/>
      </w:pPr>
      <w:r>
        <w:t>In accordance with Section 362, Article 7, paragraph 3 of New York State County Law:  “….nor shall one fund or appropriation account be drawn upon to pay any claim chargeable to another.”  The Broome County Charter and Administrative Code (Article VI) also prohibits the transfer of resources from one administrative unit to another without prior Legislative approval.</w:t>
      </w:r>
    </w:p>
    <w:p w:rsidR="00272089" w:rsidRDefault="00272089" w:rsidP="00272089">
      <w:pPr>
        <w:ind w:left="720"/>
      </w:pPr>
    </w:p>
    <w:p w:rsidR="00272089" w:rsidRDefault="00272089" w:rsidP="00272089">
      <w:pPr>
        <w:ind w:left="720"/>
      </w:pPr>
      <w:r>
        <w:t>We recommend that a journal entry be prepared moving the expense from the Real Property Department to the County Clerk Department, where the charge would properly be reflected.</w:t>
      </w:r>
    </w:p>
    <w:p w:rsidR="00B20C64" w:rsidRDefault="00B20C64" w:rsidP="00272089">
      <w:pPr>
        <w:ind w:left="720"/>
      </w:pPr>
    </w:p>
    <w:p w:rsidR="00B20C64" w:rsidRPr="00B20C64" w:rsidRDefault="00B20C64" w:rsidP="00272089">
      <w:pPr>
        <w:ind w:left="720"/>
        <w:rPr>
          <w:color w:val="FF0000"/>
        </w:rPr>
      </w:pPr>
      <w:r w:rsidRPr="00B20C64">
        <w:rPr>
          <w:color w:val="FF0000"/>
        </w:rPr>
        <w:t>Response - OMB will prepare and submit through PeopleSoft workflow the necessary journal entry to move the expense from Real Property Department to the County Clerk’s Office. </w:t>
      </w:r>
    </w:p>
    <w:p w:rsidR="00272089" w:rsidRDefault="00272089" w:rsidP="00272089"/>
    <w:p w:rsidR="00272089" w:rsidRDefault="00272089" w:rsidP="00272089">
      <w:pPr>
        <w:pStyle w:val="ListParagraph"/>
        <w:numPr>
          <w:ilvl w:val="0"/>
          <w:numId w:val="5"/>
        </w:numPr>
      </w:pPr>
      <w:r>
        <w:t>HIGHWAY DEPARTMENT</w:t>
      </w:r>
    </w:p>
    <w:p w:rsidR="00272089" w:rsidRDefault="00272089" w:rsidP="00272089"/>
    <w:p w:rsidR="00272089" w:rsidRDefault="00272089" w:rsidP="00272089">
      <w:pPr>
        <w:ind w:left="720"/>
      </w:pPr>
      <w:r>
        <w:t>Incorrect Rates Paid to Contractor</w:t>
      </w:r>
    </w:p>
    <w:p w:rsidR="00272089" w:rsidRDefault="00272089" w:rsidP="00272089">
      <w:pPr>
        <w:ind w:left="720"/>
      </w:pPr>
    </w:p>
    <w:p w:rsidR="00272089" w:rsidRDefault="00272089" w:rsidP="00272089">
      <w:pPr>
        <w:ind w:left="720"/>
      </w:pPr>
      <w:r>
        <w:t>The Highway Department overpaid a vendor by $47.50 due to incorrect rates included in the vendor’s bill.</w:t>
      </w:r>
    </w:p>
    <w:p w:rsidR="00272089" w:rsidRDefault="00272089" w:rsidP="00272089">
      <w:pPr>
        <w:ind w:left="720"/>
      </w:pPr>
    </w:p>
    <w:p w:rsidR="00272089" w:rsidRDefault="00272089" w:rsidP="00272089">
      <w:pPr>
        <w:ind w:left="720"/>
      </w:pPr>
      <w:r>
        <w:t>The payment was associated with the Big Brook Stream Bank Failure project.</w:t>
      </w:r>
    </w:p>
    <w:p w:rsidR="00272089" w:rsidRDefault="00272089" w:rsidP="00272089">
      <w:pPr>
        <w:ind w:left="720"/>
      </w:pPr>
    </w:p>
    <w:p w:rsidR="00272089" w:rsidRDefault="00272089" w:rsidP="00272089">
      <w:pPr>
        <w:ind w:left="720"/>
      </w:pPr>
      <w:r>
        <w:t>The Department intends to secure a credit from the vendor on a future billing.</w:t>
      </w:r>
    </w:p>
    <w:p w:rsidR="00272089" w:rsidRDefault="00272089" w:rsidP="00272089"/>
    <w:p w:rsidR="00272089" w:rsidRDefault="00272089" w:rsidP="00272089">
      <w:pPr>
        <w:pStyle w:val="ListParagraph"/>
        <w:numPr>
          <w:ilvl w:val="0"/>
          <w:numId w:val="5"/>
        </w:numPr>
      </w:pPr>
      <w:r>
        <w:t>HIGHWAY DEPARTMENT</w:t>
      </w:r>
    </w:p>
    <w:p w:rsidR="00272089" w:rsidRDefault="00272089" w:rsidP="00272089"/>
    <w:p w:rsidR="00272089" w:rsidRDefault="00980548" w:rsidP="00272089">
      <w:pPr>
        <w:ind w:left="720"/>
      </w:pPr>
      <w:r>
        <w:t>Retainage Not Withheld From Payments In Accordance With Terms of C</w:t>
      </w:r>
      <w:r w:rsidR="00272089">
        <w:t>ontract.</w:t>
      </w:r>
    </w:p>
    <w:p w:rsidR="00272089" w:rsidRDefault="00272089" w:rsidP="00272089">
      <w:pPr>
        <w:ind w:left="720"/>
      </w:pPr>
    </w:p>
    <w:p w:rsidR="00272089" w:rsidRDefault="00272089" w:rsidP="00272089">
      <w:pPr>
        <w:ind w:left="720"/>
      </w:pPr>
      <w:r>
        <w:lastRenderedPageBreak/>
        <w:t>The Highway Department processed payments totaling $179,057.57 without holding back retainage of 5% as required in accordance with the terms of the applicable contracts.</w:t>
      </w:r>
    </w:p>
    <w:p w:rsidR="00272089" w:rsidRDefault="00272089" w:rsidP="00272089">
      <w:pPr>
        <w:ind w:left="720"/>
      </w:pPr>
    </w:p>
    <w:p w:rsidR="00272089" w:rsidRDefault="00272089" w:rsidP="00272089">
      <w:pPr>
        <w:ind w:left="720"/>
      </w:pPr>
    </w:p>
    <w:p w:rsidR="00272089" w:rsidRDefault="00272089" w:rsidP="00272089"/>
    <w:p w:rsidR="00272089" w:rsidRDefault="00272089" w:rsidP="00272089">
      <w:pPr>
        <w:pStyle w:val="ListParagraph"/>
        <w:numPr>
          <w:ilvl w:val="0"/>
          <w:numId w:val="5"/>
        </w:numPr>
      </w:pPr>
      <w:r>
        <w:t>WILLOW POINT NURSING HOME</w:t>
      </w:r>
    </w:p>
    <w:p w:rsidR="00272089" w:rsidRDefault="00272089" w:rsidP="00272089">
      <w:pPr>
        <w:pStyle w:val="ListParagraph"/>
      </w:pPr>
    </w:p>
    <w:p w:rsidR="00272089" w:rsidRDefault="00272089" w:rsidP="00272089">
      <w:pPr>
        <w:pStyle w:val="ListParagraph"/>
      </w:pPr>
      <w:r>
        <w:t>County Contracts Not Utilized</w:t>
      </w:r>
    </w:p>
    <w:p w:rsidR="00272089" w:rsidRDefault="00272089" w:rsidP="00272089">
      <w:pPr>
        <w:pStyle w:val="ListParagraph"/>
      </w:pPr>
    </w:p>
    <w:p w:rsidR="00272089" w:rsidRDefault="00272089" w:rsidP="00272089">
      <w:pPr>
        <w:pStyle w:val="ListParagraph"/>
      </w:pPr>
      <w:r>
        <w:t xml:space="preserve">During our review of Willow Point’s use of the County Purchasing </w:t>
      </w:r>
      <w:r w:rsidR="00980548">
        <w:t>C</w:t>
      </w:r>
      <w:r>
        <w:t>ard, we found several instances of purchases made from vendors where the County has existing contracts.</w:t>
      </w:r>
    </w:p>
    <w:p w:rsidR="00272089" w:rsidRDefault="00272089" w:rsidP="00272089">
      <w:pPr>
        <w:pStyle w:val="ListParagraph"/>
      </w:pPr>
    </w:p>
    <w:p w:rsidR="00272089" w:rsidRDefault="00272089" w:rsidP="00272089">
      <w:pPr>
        <w:pStyle w:val="ListParagraph"/>
      </w:pPr>
      <w:r>
        <w:t>County contracts are negotiated with vendors to secure more favorable terms and conditions and price discounts.  When a contract exists with a vendor it should be used.</w:t>
      </w:r>
    </w:p>
    <w:p w:rsidR="00272089" w:rsidRDefault="00272089" w:rsidP="00272089">
      <w:pPr>
        <w:pStyle w:val="ListParagraph"/>
      </w:pPr>
    </w:p>
    <w:p w:rsidR="00272089" w:rsidRDefault="00272089" w:rsidP="00272089">
      <w:pPr>
        <w:pStyle w:val="ListParagraph"/>
      </w:pPr>
      <w:r>
        <w:t>Willow Point has agreed to use existing County contracts going forward.</w:t>
      </w:r>
    </w:p>
    <w:p w:rsidR="00272089" w:rsidRPr="00272089" w:rsidRDefault="00272089" w:rsidP="00272089">
      <w:pPr>
        <w:pStyle w:val="ListParagraph"/>
      </w:pPr>
    </w:p>
    <w:p w:rsidR="00546012" w:rsidRDefault="00546012" w:rsidP="00546012">
      <w:pPr>
        <w:jc w:val="center"/>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9F4"/>
    <w:rsid w:val="00032396"/>
    <w:rsid w:val="000F36D5"/>
    <w:rsid w:val="001B4E9B"/>
    <w:rsid w:val="0022384B"/>
    <w:rsid w:val="002314AF"/>
    <w:rsid w:val="0023310E"/>
    <w:rsid w:val="00272089"/>
    <w:rsid w:val="002A7C3C"/>
    <w:rsid w:val="00375220"/>
    <w:rsid w:val="004C06C0"/>
    <w:rsid w:val="004F6EFE"/>
    <w:rsid w:val="00516B58"/>
    <w:rsid w:val="005346D1"/>
    <w:rsid w:val="00541BBC"/>
    <w:rsid w:val="00546012"/>
    <w:rsid w:val="00596A7B"/>
    <w:rsid w:val="005A0EC3"/>
    <w:rsid w:val="005D527C"/>
    <w:rsid w:val="00614911"/>
    <w:rsid w:val="00651A5A"/>
    <w:rsid w:val="00744058"/>
    <w:rsid w:val="008C28E3"/>
    <w:rsid w:val="008E009B"/>
    <w:rsid w:val="00934B44"/>
    <w:rsid w:val="00980548"/>
    <w:rsid w:val="009A77F0"/>
    <w:rsid w:val="009D79F4"/>
    <w:rsid w:val="00A32223"/>
    <w:rsid w:val="00A41457"/>
    <w:rsid w:val="00A47F85"/>
    <w:rsid w:val="00A86F84"/>
    <w:rsid w:val="00AC613B"/>
    <w:rsid w:val="00B20C64"/>
    <w:rsid w:val="00C67A90"/>
    <w:rsid w:val="00C80FF9"/>
    <w:rsid w:val="00C850D3"/>
    <w:rsid w:val="00C953B1"/>
    <w:rsid w:val="00CC20A6"/>
    <w:rsid w:val="00D047D7"/>
    <w:rsid w:val="00DB105A"/>
    <w:rsid w:val="00E00D15"/>
    <w:rsid w:val="00E57CCE"/>
    <w:rsid w:val="00F24086"/>
    <w:rsid w:val="00F43A91"/>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AE9004D-FB3F-498E-B9DC-352DEDEF75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699</Words>
  <Characters>3990</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4680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2015-12-15T16:00:00Z</cp:lastPrinted>
  <dcterms:created xsi:type="dcterms:W3CDTF">2016-06-13T15:29:00Z</dcterms:created>
  <dcterms:modified xsi:type="dcterms:W3CDTF">2016-06-13T15:29:00Z</dcterms:modified>
</cp:coreProperties>
</file>